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Pr="00935504" w:rsidRDefault="00CB0520" w:rsidP="00CB0520">
      <w:pPr>
        <w:jc w:val="center"/>
        <w:rPr>
          <w:rFonts w:ascii="Times New Roman" w:hAnsi="Times New Roman"/>
          <w:sz w:val="24"/>
          <w:szCs w:val="22"/>
        </w:rPr>
      </w:pPr>
      <w:r w:rsidRPr="00935504">
        <w:rPr>
          <w:rFonts w:ascii="Times New Roman" w:hAnsi="Times New Roman"/>
          <w:sz w:val="24"/>
        </w:rPr>
        <w:t>BG</w:t>
      </w:r>
    </w:p>
    <w:p w14:paraId="2D00CB42" w14:textId="77777777" w:rsidR="00CB0520" w:rsidRPr="00935504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935504" w:rsidRDefault="009C5DD6" w:rsidP="009C5DD6">
      <w:pPr>
        <w:jc w:val="center"/>
        <w:rPr>
          <w:rFonts w:ascii="Times New Roman" w:hAnsi="Times New Roman"/>
          <w:sz w:val="24"/>
        </w:rPr>
      </w:pPr>
      <w:r w:rsidRPr="00935504">
        <w:rPr>
          <w:rFonts w:ascii="Times New Roman" w:hAnsi="Times New Roman"/>
          <w:sz w:val="24"/>
        </w:rPr>
        <w:t>ПРИЛОЖЕНИЕ II</w:t>
      </w:r>
    </w:p>
    <w:p w14:paraId="03895EA2" w14:textId="77777777" w:rsidR="009C5DD6" w:rsidRPr="00935504" w:rsidRDefault="009C5DD6" w:rsidP="009C5DD6">
      <w:pPr>
        <w:jc w:val="center"/>
        <w:rPr>
          <w:rFonts w:ascii="Times New Roman" w:hAnsi="Times New Roman"/>
          <w:sz w:val="24"/>
        </w:rPr>
      </w:pPr>
      <w:r w:rsidRPr="00935504">
        <w:rPr>
          <w:rFonts w:ascii="Times New Roman" w:hAnsi="Times New Roman"/>
          <w:sz w:val="24"/>
        </w:rPr>
        <w:t>„ПРИЛОЖЕНИЕ II</w:t>
      </w:r>
    </w:p>
    <w:p w14:paraId="480031C9" w14:textId="77777777" w:rsidR="009C5DD6" w:rsidRPr="00935504" w:rsidRDefault="009C5DD6" w:rsidP="009C5DD6">
      <w:pPr>
        <w:jc w:val="center"/>
        <w:rPr>
          <w:rFonts w:ascii="Times New Roman" w:hAnsi="Times New Roman"/>
          <w:b/>
          <w:sz w:val="24"/>
        </w:rPr>
      </w:pPr>
      <w:r w:rsidRPr="00935504"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08E08E50" w14:textId="77777777" w:rsidR="00EE75F2" w:rsidRPr="00935504" w:rsidRDefault="00EE75F2"/>
    <w:p w14:paraId="29C05932" w14:textId="7194A2B7" w:rsidR="00925646" w:rsidRPr="00935504" w:rsidRDefault="00FA21C6" w:rsidP="0092564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935504">
        <w:rPr>
          <w:rStyle w:val="InstructionsTabelleText"/>
          <w:rFonts w:ascii="Times New Roman" w:hAnsi="Times New Roman"/>
          <w:b/>
          <w:sz w:val="24"/>
          <w:u w:val="single"/>
        </w:rPr>
        <w:t>ЧАСТ II: УКАЗАНИЯ ОТНОСНО ОБРАЗЦИТЕ</w:t>
      </w:r>
    </w:p>
    <w:p w14:paraId="4DA6D037" w14:textId="77777777" w:rsidR="00FC29F5" w:rsidRPr="00935504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935504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7B580897" w14:textId="4FDF8965" w:rsidR="00736637" w:rsidRPr="00935504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935504">
        <w:rPr>
          <w:rStyle w:val="InstructionsTabelleText"/>
          <w:rFonts w:ascii="Times New Roman" w:hAnsi="Times New Roman"/>
          <w:sz w:val="24"/>
        </w:rPr>
        <w:t>(…)</w:t>
      </w:r>
    </w:p>
    <w:p w14:paraId="532AAD9A" w14:textId="77777777" w:rsidR="00925646" w:rsidRPr="00935504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10415035"/>
      <w:bookmarkStart w:id="1" w:name="_Toc360188372"/>
      <w:bookmarkStart w:id="2" w:name="_Toc473560923"/>
      <w:bookmarkStart w:id="3" w:name="_Toc151714430"/>
      <w:r w:rsidRPr="00935504">
        <w:rPr>
          <w:rFonts w:ascii="Times New Roman" w:hAnsi="Times New Roman"/>
          <w:sz w:val="24"/>
          <w:u w:val="none"/>
        </w:rPr>
        <w:t>3.6.</w:t>
      </w:r>
      <w:r w:rsidRPr="00935504">
        <w:rPr>
          <w:rFonts w:ascii="Times New Roman" w:hAnsi="Times New Roman"/>
          <w:sz w:val="24"/>
          <w:u w:val="none"/>
        </w:rPr>
        <w:tab/>
      </w:r>
      <w:r w:rsidRPr="00935504">
        <w:rPr>
          <w:rFonts w:ascii="Times New Roman" w:hAnsi="Times New Roman"/>
          <w:sz w:val="24"/>
        </w:rPr>
        <w:t>C 11.00 – Риск във връзка със сетълмента/доставката</w:t>
      </w:r>
      <w:bookmarkEnd w:id="0"/>
      <w:bookmarkEnd w:id="1"/>
      <w:r w:rsidRPr="00935504">
        <w:rPr>
          <w:rFonts w:ascii="Times New Roman" w:hAnsi="Times New Roman"/>
          <w:sz w:val="24"/>
        </w:rPr>
        <w:t xml:space="preserve"> (CR SETT)</w:t>
      </w:r>
      <w:bookmarkEnd w:id="2"/>
      <w:bookmarkEnd w:id="3"/>
    </w:p>
    <w:p w14:paraId="2752D001" w14:textId="77777777" w:rsidR="00925646" w:rsidRPr="00935504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 w:rsidRPr="00935504">
        <w:rPr>
          <w:rFonts w:ascii="Times New Roman" w:hAnsi="Times New Roman"/>
          <w:sz w:val="24"/>
          <w:u w:val="none"/>
        </w:rPr>
        <w:t>3.6.1.</w:t>
      </w:r>
      <w:r w:rsidRPr="00935504">
        <w:rPr>
          <w:rFonts w:ascii="Times New Roman" w:hAnsi="Times New Roman"/>
          <w:sz w:val="24"/>
          <w:u w:val="none"/>
        </w:rPr>
        <w:tab/>
      </w:r>
      <w:r w:rsidRPr="00935504">
        <w:rPr>
          <w:rFonts w:ascii="Times New Roman" w:hAnsi="Times New Roman"/>
          <w:sz w:val="24"/>
        </w:rPr>
        <w:t>Общи бележки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99</w:t>
      </w:r>
      <w:r w:rsidRPr="00935504">
        <w:fldChar w:fldCharType="end"/>
      </w:r>
      <w:r w:rsidRPr="00935504">
        <w:t>.</w:t>
      </w:r>
      <w:r w:rsidRPr="00935504">
        <w:tab/>
        <w:t xml:space="preserve">В този образец се изисква информация за сделките както в търговския, така и в банковия портфейл, по които не е извършен сетълмент след договорените дати за доставка, и за съответните им капиталови изисквания с оглед на риска във връзка със сетълмента по член 92, параграф 3, буква в), подточка ii) и член 378 от Регламент (ЕС) № 575/2013. </w:t>
      </w:r>
    </w:p>
    <w:p w14:paraId="0B60E63F" w14:textId="08AFF3CE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100</w:t>
      </w:r>
      <w:r w:rsidRPr="00935504">
        <w:fldChar w:fldCharType="end"/>
      </w:r>
      <w:r w:rsidRPr="00935504">
        <w:t>.</w:t>
      </w:r>
      <w:r w:rsidRPr="00935504">
        <w:tab/>
        <w:t xml:space="preserve">Институциите докладват в образец CR SETT информация за риска във връзка със сетълмента/доставката при дълговите инструменти, капиталовите инструменти, чуждестранната валутата и стоките, държани в техния търговски или банков портфейл. </w:t>
      </w:r>
    </w:p>
    <w:p w14:paraId="1F6DAE78" w14:textId="6128EA18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101</w:t>
      </w:r>
      <w:r w:rsidRPr="00935504">
        <w:fldChar w:fldCharType="end"/>
      </w:r>
      <w:r w:rsidRPr="00935504">
        <w:t>.</w:t>
      </w:r>
      <w:r w:rsidRPr="00935504">
        <w:tab/>
        <w:t>В съответствие с член 378 от Регламент (ЕС) № 575/2013 репо сделките и сделките за предоставяне/взимане в заем на ценни книжа или стоки, свързани с дългови инструменти, капиталови инструменти, чуждестранна валута и стоки, не подлежат на капиталови изисквания за риск във връзка със сетълмента/доставката. Трябва да се отбележи обаче, че независимо от това капиталовите изисквания за риск във връзка със сетълмента/доставката, определени в член 378 от Регламент (ЕС) № 575/2013, се прилагат спрямо дериватите и сделките с удължен сетълмент, по които не е извършен сетълмент след договорените дати за доставка.</w:t>
      </w:r>
    </w:p>
    <w:p w14:paraId="4DCAF22E" w14:textId="79A986C3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102</w:t>
      </w:r>
      <w:r w:rsidRPr="00935504">
        <w:fldChar w:fldCharType="end"/>
      </w:r>
      <w:r w:rsidRPr="00935504">
        <w:t>.</w:t>
      </w:r>
      <w:r w:rsidRPr="00935504">
        <w:tab/>
        <w:t xml:space="preserve">При сделките, по които не е извършен сетълмент след договорената дата за доставка, институциите изчисляват ценовата разлика, към която са изложени на риск. Това е разликата между договорената цена на сетълмент на съответния дългов или капиталов инструмент, валута или стока и неговата/нейната текуща пазарна стойност, когато тази разлика може да доведе до загуба за институцията. </w:t>
      </w:r>
    </w:p>
    <w:p w14:paraId="7DB9BE93" w14:textId="77A3E431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103</w:t>
      </w:r>
      <w:r w:rsidRPr="00935504">
        <w:fldChar w:fldCharType="end"/>
      </w:r>
      <w:r w:rsidRPr="00935504">
        <w:t>.</w:t>
      </w:r>
      <w:r w:rsidRPr="00935504">
        <w:tab/>
        <w:t>За да определят съответните капиталови изисквания, институциите умножават тази разлика по съответния коефициент от таблица 1 в член 378 от Регламент (ЕС) № 575/2013.</w:t>
      </w:r>
    </w:p>
    <w:p w14:paraId="59D114DF" w14:textId="657627A8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lastRenderedPageBreak/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104</w:t>
      </w:r>
      <w:r w:rsidRPr="00935504">
        <w:fldChar w:fldCharType="end"/>
      </w:r>
      <w:r w:rsidRPr="00935504">
        <w:t>.</w:t>
      </w:r>
      <w:r w:rsidRPr="00935504">
        <w:tab/>
        <w:t>В съответствие с член 92, параграф 4, буква б) от Регламент (ЕС) № 575/2013, за да се изчисли размерът на рисковата експозиция капиталовите изисквания за риск във връзка със сетълмента/доставката се умножават по 12,5.</w:t>
      </w:r>
    </w:p>
    <w:p w14:paraId="451A9870" w14:textId="00DC3B9D" w:rsidR="00925646" w:rsidRPr="00935504" w:rsidRDefault="00925646" w:rsidP="00925646">
      <w:pPr>
        <w:pStyle w:val="InstructionsText2"/>
        <w:numPr>
          <w:ilvl w:val="0"/>
          <w:numId w:val="0"/>
        </w:numPr>
        <w:ind w:left="993"/>
      </w:pPr>
      <w:r w:rsidRPr="00935504">
        <w:fldChar w:fldCharType="begin"/>
      </w:r>
      <w:r w:rsidRPr="00935504">
        <w:instrText>seq paragraphs</w:instrText>
      </w:r>
      <w:r w:rsidRPr="00935504">
        <w:fldChar w:fldCharType="separate"/>
      </w:r>
      <w:r w:rsidRPr="00935504">
        <w:t>105</w:t>
      </w:r>
      <w:r w:rsidRPr="00935504">
        <w:fldChar w:fldCharType="end"/>
      </w:r>
      <w:r w:rsidRPr="00935504">
        <w:t>.</w:t>
      </w:r>
      <w:r w:rsidRPr="00935504">
        <w:tab/>
        <w:t>Трябва да се отбележи, че капиталовите изисквания за свободните доставки по член 379 от Регламент (ЕС) № 575/2013 не попадат в обхвата на образец CR SETT. Тези капиталови изисквания се докладват в образците за кредитен риск (CR SA, CR IRB).</w:t>
      </w:r>
    </w:p>
    <w:p w14:paraId="2856C9F8" w14:textId="77777777" w:rsidR="00925646" w:rsidRPr="00935504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10415037"/>
      <w:bookmarkStart w:id="11" w:name="_Toc360188374"/>
      <w:bookmarkStart w:id="12" w:name="_Toc473560925"/>
      <w:bookmarkStart w:id="13" w:name="_Toc151714432"/>
      <w:r w:rsidRPr="00935504">
        <w:rPr>
          <w:rFonts w:ascii="Times New Roman" w:hAnsi="Times New Roman"/>
          <w:sz w:val="24"/>
          <w:u w:val="none"/>
        </w:rPr>
        <w:t>3.6.2.</w:t>
      </w:r>
      <w:r w:rsidRPr="00935504">
        <w:rPr>
          <w:rFonts w:ascii="Times New Roman" w:hAnsi="Times New Roman"/>
          <w:sz w:val="24"/>
          <w:u w:val="none"/>
        </w:rPr>
        <w:tab/>
      </w:r>
      <w:r w:rsidRPr="00935504">
        <w:rPr>
          <w:rFonts w:ascii="Times New Roman" w:hAnsi="Times New Roman"/>
          <w:sz w:val="24"/>
        </w:rPr>
        <w:t>Указания относно конкретни позиции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935504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35504">
              <w:rPr>
                <w:rFonts w:ascii="Times New Roman" w:hAnsi="Times New Roman"/>
                <w:b/>
                <w:sz w:val="24"/>
              </w:rPr>
              <w:t>Колони</w:t>
            </w:r>
          </w:p>
        </w:tc>
      </w:tr>
      <w:tr w:rsidR="00925646" w:rsidRPr="00935504" w14:paraId="0C777B7A" w14:textId="77777777" w:rsidTr="00E07FE9">
        <w:tc>
          <w:tcPr>
            <w:tcW w:w="852" w:type="dxa"/>
          </w:tcPr>
          <w:p w14:paraId="12FCBB6E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04AF1B5E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НЕУРЕДЕНИ СДЕЛКИ, ПО ЦЕНА НА СЕТЪЛМЕНТ</w:t>
            </w:r>
          </w:p>
          <w:p w14:paraId="4CB9A5A9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 xml:space="preserve">Институциите докладват сделките, по които не е извършен сетълмент, след договорената дата на доставка по съответните договорени цени на сетълмент съгласно посоченото в член 378 от Регламент (ЕС) № 575/2013. </w:t>
            </w:r>
          </w:p>
          <w:p w14:paraId="09152D4C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В тази колона се включват всички неуредени сделки, независимо дали по тях има печалба или загуба след договорената дата на сетълмент.</w:t>
            </w:r>
          </w:p>
        </w:tc>
      </w:tr>
      <w:tr w:rsidR="00925646" w:rsidRPr="00935504" w14:paraId="5FEA9B26" w14:textId="77777777" w:rsidTr="00E07FE9">
        <w:tc>
          <w:tcPr>
            <w:tcW w:w="852" w:type="dxa"/>
          </w:tcPr>
          <w:p w14:paraId="5EC8BA01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5594AB87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ЕКСПОЗИЦИЯ КЪМ ЦЕНОВА РАЗЛИКА ПОРАДИ НЕУРЕДЕНИ СДЕЛКИ</w:t>
            </w:r>
          </w:p>
          <w:p w14:paraId="43853ADA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 xml:space="preserve">Институциите докладват ценовата разлика между договорената цена на сетълмент на съответния дългов инструмент, капиталов инструмент, чуждестранна валута или стоки и неговата/нейната текуща пазарна стойност, когато тази разлика може да доведе до загуба за институцията, съгласно посоченото в член 378 от Регламент (ЕС) № 575/2013. </w:t>
            </w:r>
          </w:p>
          <w:p w14:paraId="692F8ABE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В тази колона се докладват само неуредените сделки, по които е отчетена загуба след договорената дата на сетълмент.</w:t>
            </w:r>
          </w:p>
        </w:tc>
      </w:tr>
      <w:tr w:rsidR="00925646" w:rsidRPr="00935504" w14:paraId="40F087AE" w14:textId="77777777" w:rsidTr="00E07FE9">
        <w:tc>
          <w:tcPr>
            <w:tcW w:w="852" w:type="dxa"/>
          </w:tcPr>
          <w:p w14:paraId="464EF1DF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5DA1D585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КАПИТАЛОВИ ИЗИСКВАНИЯ</w:t>
            </w:r>
          </w:p>
          <w:p w14:paraId="24894388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капиталовите изисквания, изчислени в съответствие с член 378 от Регламент (ЕС) № 575/2013.</w:t>
            </w:r>
          </w:p>
        </w:tc>
      </w:tr>
      <w:tr w:rsidR="00925646" w:rsidRPr="00935504" w14:paraId="185C6E1B" w14:textId="77777777" w:rsidTr="00E07FE9">
        <w:tc>
          <w:tcPr>
            <w:tcW w:w="852" w:type="dxa"/>
          </w:tcPr>
          <w:p w14:paraId="6691FECB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09E890C2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ОБЩА РИСКОВА ЕКСПОЗИЦИЯ ВЪВ ВРЪЗКА СЪС СЕТЪЛМЕНТА</w:t>
            </w:r>
          </w:p>
          <w:p w14:paraId="3A06223E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По силата на член 92, параграф 4, буква б) от Регламент (ЕС) № 575/2013, за да изчислят рисковата експозиция във връзка със сетълмента институциите умножават капиталовите си изисквания, докладвани в колона 0030, по 12,5.</w:t>
            </w:r>
          </w:p>
        </w:tc>
      </w:tr>
    </w:tbl>
    <w:p w14:paraId="2CF8C386" w14:textId="77777777" w:rsidR="00925646" w:rsidRPr="00935504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935504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35504">
              <w:rPr>
                <w:rFonts w:ascii="Times New Roman" w:hAnsi="Times New Roman"/>
                <w:b/>
                <w:sz w:val="24"/>
              </w:rPr>
              <w:t>Редове</w:t>
            </w:r>
          </w:p>
        </w:tc>
      </w:tr>
      <w:tr w:rsidR="00925646" w:rsidRPr="00935504" w14:paraId="6E36F3A5" w14:textId="77777777" w:rsidTr="00E07FE9">
        <w:tc>
          <w:tcPr>
            <w:tcW w:w="852" w:type="dxa"/>
          </w:tcPr>
          <w:p w14:paraId="4E78548D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10" w:type="dxa"/>
          </w:tcPr>
          <w:p w14:paraId="79508667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Общ размер на неуредените сделки в банковия портфейл</w:t>
            </w:r>
          </w:p>
          <w:p w14:paraId="21410DD0" w14:textId="700C573F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lastRenderedPageBreak/>
              <w:t>Институциите докладват общата информация за риска във връзка със сетълмента/доставката за позиции в банковия портфейл (съгласно посоченото в член 92, параграф 4, буква ва) и член 378 от Регламент (ЕС) № 575/2013).</w:t>
            </w:r>
          </w:p>
          <w:p w14:paraId="57BBA9B8" w14:textId="77777777" w:rsidR="00925646" w:rsidRPr="00935504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в {r0010;c0010} общата стойност на неуредените сделки след договорените дати на доставка по съответните договорени цени на сетълмент.</w:t>
            </w:r>
          </w:p>
          <w:p w14:paraId="556AEAC8" w14:textId="77777777" w:rsidR="00925646" w:rsidRPr="00935504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в {r0010;c0020} общата информация за експозицията към ценовата разлика, произтичаща от неуредените сделки, по които се предполага загуба.</w:t>
            </w:r>
          </w:p>
          <w:p w14:paraId="01BDECED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в {r0010;c0030] общите капиталови изисквания, изведени чрез сумиране на капиталовите изисквания за неуредените сделки, като умножават докладваната в колона 0020 „ценова разлика“ по подходящ коефициент, определен въз основа на броя на работните дни след договорената дата на сетълмент (вж. категориите в таблица 1 в член 378 от Регламент (ЕС) № 575/2013).</w:t>
            </w:r>
          </w:p>
        </w:tc>
      </w:tr>
      <w:tr w:rsidR="00925646" w:rsidRPr="00935504" w14:paraId="5C9B2254" w14:textId="77777777" w:rsidTr="00E07FE9">
        <w:tc>
          <w:tcPr>
            <w:tcW w:w="852" w:type="dxa"/>
          </w:tcPr>
          <w:p w14:paraId="4D2DFFF2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lastRenderedPageBreak/>
              <w:t>0020-0060</w:t>
            </w:r>
          </w:p>
        </w:tc>
        <w:tc>
          <w:tcPr>
            <w:tcW w:w="8010" w:type="dxa"/>
          </w:tcPr>
          <w:p w14:paraId="78C0D32F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до 4 дни (коефициент 0</w:t>
            </w:r>
            <w:r w:rsidRPr="00935504">
              <w:t> </w:t>
            </w: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18729DF9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5 и 15 дни (коефициент 8 %)</w:t>
            </w:r>
          </w:p>
          <w:p w14:paraId="00232284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16 и 30 дни (коефициент 50 %)</w:t>
            </w:r>
          </w:p>
          <w:p w14:paraId="5EEFD940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31 и 45 дни (коефициент 75 %)</w:t>
            </w:r>
          </w:p>
          <w:p w14:paraId="326E480A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46 или повече дни (коефициент 100 %)</w:t>
            </w:r>
          </w:p>
          <w:p w14:paraId="4BCE7D0D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 xml:space="preserve">В редове 0020—0060 институциите докладват информацията за риска във връзка със сетълмента/доставката при позициите в банковия портфейл в съответствие с категориите в таблица 1 от член 378 от Регламент (ЕС) № 575/2013. </w:t>
            </w:r>
          </w:p>
          <w:p w14:paraId="4BA03842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Не се докладват капиталовите изисквания с оглед на риска във връзка със сетълмента/доставката за сделките, останали неуредени за срок, по-кратък от 5 работни дни след договорената дата на сетълмент.</w:t>
            </w:r>
          </w:p>
        </w:tc>
      </w:tr>
      <w:tr w:rsidR="00925646" w:rsidRPr="00935504" w14:paraId="271E44B6" w14:textId="77777777" w:rsidTr="00E07FE9">
        <w:tc>
          <w:tcPr>
            <w:tcW w:w="852" w:type="dxa"/>
          </w:tcPr>
          <w:p w14:paraId="4680CF00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10" w:type="dxa"/>
          </w:tcPr>
          <w:p w14:paraId="56920EB6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Общ размер на неуредените сделки в търговския портфейл</w:t>
            </w:r>
          </w:p>
          <w:p w14:paraId="3C4B428B" w14:textId="446A5161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общата информация за риска във връзка със сетълмента/доставката за позиции в търговския портфейл (съгласно посоченото в член 92, параграф 4, буква ва) и член 378 от Регламент (ЕС) № 575/2013).</w:t>
            </w:r>
          </w:p>
          <w:p w14:paraId="2E44B3F3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в {r0070;c0010} общата стойност на неуредените сделки след договорените дати на доставка по съответните договорени цени на сетълмент.</w:t>
            </w:r>
          </w:p>
          <w:p w14:paraId="1CB848DF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lastRenderedPageBreak/>
              <w:t>Институциите докладват в {r0070;c0020} общата информация за експозицията към ценовата разлика, произтичаща от неуредените сделки, по които се предполага загуба.</w:t>
            </w:r>
          </w:p>
          <w:p w14:paraId="64D05373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Институциите докладват в {r0070;c0030} общите капиталови изисквания, изведени чрез сумиране на капиталовите изисквания за неуредените сделки, като умножават докладваната в колона 0020 „ценова разлика“ по подходящ коефициент, определен въз основа на броя на работните дни след договорената дата на сетълмент (вж. категориите в таблица 1 в член 378 от Регламент (ЕС) № 575/2013).</w:t>
            </w:r>
          </w:p>
        </w:tc>
      </w:tr>
      <w:tr w:rsidR="00925646" w:rsidRPr="00935504" w14:paraId="2284D88A" w14:textId="77777777" w:rsidTr="00E07FE9">
        <w:tc>
          <w:tcPr>
            <w:tcW w:w="852" w:type="dxa"/>
          </w:tcPr>
          <w:p w14:paraId="4F3EBD1A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lastRenderedPageBreak/>
              <w:t>0080-0120</w:t>
            </w:r>
          </w:p>
        </w:tc>
        <w:tc>
          <w:tcPr>
            <w:tcW w:w="8010" w:type="dxa"/>
          </w:tcPr>
          <w:p w14:paraId="34E9771F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до 4 дни (коефициент 0</w:t>
            </w:r>
            <w:r w:rsidRPr="00935504">
              <w:t> </w:t>
            </w: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7B8BB095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5 и 15 дни (коефициент 8 %)</w:t>
            </w:r>
          </w:p>
          <w:p w14:paraId="3902398B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16 и 30 дни (коефициент 50 %)</w:t>
            </w:r>
          </w:p>
          <w:p w14:paraId="25665540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между 31 и 45 дни (коефициент 75 %)</w:t>
            </w:r>
          </w:p>
          <w:p w14:paraId="61E1443A" w14:textId="77777777" w:rsidR="00925646" w:rsidRPr="00935504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35504">
              <w:rPr>
                <w:rStyle w:val="InstructionsTabelleberschrift"/>
                <w:rFonts w:ascii="Times New Roman" w:hAnsi="Times New Roman"/>
                <w:sz w:val="24"/>
              </w:rPr>
              <w:t>Сделки, по които не е извършен сетълмент 46 или повече дни (коефициент 100 %)</w:t>
            </w:r>
          </w:p>
          <w:p w14:paraId="1A0345F5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 xml:space="preserve">В редове 0080—0120 институциите докладват информацията за риска във връзка със сетълмента/доставката при позициите в търговския портфейл в съответствие с категориите в таблица 1 от член 378 от Регламент (ЕС) № 575/2013. </w:t>
            </w:r>
          </w:p>
          <w:p w14:paraId="0A9F762A" w14:textId="77777777" w:rsidR="00925646" w:rsidRPr="00935504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35504">
              <w:rPr>
                <w:rFonts w:ascii="Times New Roman" w:hAnsi="Times New Roman"/>
                <w:sz w:val="24"/>
              </w:rPr>
              <w:t>Не се докладват капиталовите изисквания с оглед на риска във връзка със сетълмента/доставката за сделките, останали неуредени за срок, по-кратък от 5 работни дни след договорената дата на сетълмент.</w:t>
            </w:r>
          </w:p>
        </w:tc>
      </w:tr>
    </w:tbl>
    <w:p w14:paraId="5D73F136" w14:textId="77777777" w:rsidR="00925646" w:rsidRPr="00935504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Pr="00935504" w:rsidRDefault="00925646" w:rsidP="00925646">
      <w:r w:rsidRPr="00935504">
        <w:br w:type="page"/>
      </w:r>
    </w:p>
    <w:p w14:paraId="557ADFEB" w14:textId="77777777" w:rsidR="00925646" w:rsidRPr="00935504" w:rsidRDefault="00925646"/>
    <w:sectPr w:rsidR="00925646" w:rsidRPr="00935504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35504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C57BF-6A58-4EBA-AE31-687FE8C39F10}"/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1127</Words>
  <Characters>6393</Characters>
  <Application>Microsoft Office Word</Application>
  <DocSecurity>0</DocSecurity>
  <Lines>155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KOEV Kamen Krasimirov (DGT)</cp:lastModifiedBy>
  <cp:revision>10</cp:revision>
  <dcterms:created xsi:type="dcterms:W3CDTF">2024-05-28T09:25:00Z</dcterms:created>
  <dcterms:modified xsi:type="dcterms:W3CDTF">2025-01-22T16:03:00Z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